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EDBE1" w14:textId="77777777" w:rsidR="002E5570" w:rsidRPr="00726FE9" w:rsidRDefault="00726FE9" w:rsidP="002E5570">
      <w:pPr>
        <w:pStyle w:val="Title"/>
        <w:rPr>
          <w:rFonts w:ascii="Calibri" w:hAnsi="Calibri" w:cs="Arial"/>
          <w:sz w:val="32"/>
          <w:szCs w:val="32"/>
          <w:u w:val="single"/>
        </w:rPr>
      </w:pPr>
      <w:bookmarkStart w:id="0" w:name="_GoBack"/>
      <w:bookmarkEnd w:id="0"/>
      <w:r w:rsidRPr="00726FE9">
        <w:rPr>
          <w:rFonts w:ascii="Calibri" w:hAnsi="Calibri" w:cs="Arial"/>
          <w:sz w:val="32"/>
          <w:szCs w:val="32"/>
          <w:u w:val="single"/>
        </w:rPr>
        <w:t>Green Templeton College Teaching Associates</w:t>
      </w:r>
      <w:r w:rsidR="002E5570" w:rsidRPr="00726FE9">
        <w:rPr>
          <w:rFonts w:ascii="Calibri" w:hAnsi="Calibri" w:cs="Arial"/>
          <w:sz w:val="32"/>
          <w:szCs w:val="32"/>
          <w:u w:val="single"/>
        </w:rPr>
        <w:t xml:space="preserve"> (TAs)</w:t>
      </w:r>
    </w:p>
    <w:p w14:paraId="02A63C3B" w14:textId="77777777" w:rsidR="002E5570" w:rsidRDefault="002E5570" w:rsidP="002E5570">
      <w:pPr>
        <w:pStyle w:val="Title"/>
        <w:rPr>
          <w:rFonts w:ascii="Calibri" w:hAnsi="Calibri" w:cs="Arial"/>
          <w:szCs w:val="28"/>
          <w:u w:val="single"/>
        </w:rPr>
      </w:pPr>
    </w:p>
    <w:p w14:paraId="3E614FB7" w14:textId="77777777" w:rsidR="002E5570" w:rsidRDefault="002E5570">
      <w:pPr>
        <w:rPr>
          <w:rFonts w:ascii="Calibri" w:hAnsi="Calibri" w:cs="Arial"/>
          <w:b/>
          <w:bCs/>
          <w:sz w:val="24"/>
          <w:lang w:val="en-GB"/>
        </w:rPr>
      </w:pPr>
      <w:r w:rsidRPr="002E5570">
        <w:rPr>
          <w:rFonts w:ascii="Calibri" w:hAnsi="Calibri" w:cs="Arial"/>
          <w:b/>
          <w:bCs/>
          <w:sz w:val="24"/>
          <w:lang w:val="en-GB"/>
        </w:rPr>
        <w:t>Benefits include:</w:t>
      </w:r>
    </w:p>
    <w:p w14:paraId="363C06BC" w14:textId="77777777" w:rsidR="002E5570" w:rsidRPr="002E5570" w:rsidRDefault="002E5570">
      <w:pPr>
        <w:rPr>
          <w:rFonts w:ascii="Calibri" w:hAnsi="Calibri" w:cs="Arial"/>
          <w:b/>
          <w:bCs/>
          <w:sz w:val="24"/>
          <w:lang w:val="en-GB"/>
        </w:rPr>
      </w:pPr>
    </w:p>
    <w:p w14:paraId="37DB3051" w14:textId="77777777" w:rsidR="001C0BE5" w:rsidRPr="00194D78" w:rsidRDefault="001C0BE5" w:rsidP="00F6623E">
      <w:pPr>
        <w:rPr>
          <w:rFonts w:ascii="Calibri" w:hAnsi="Calibri" w:cs="Arial"/>
          <w:b/>
          <w:bCs/>
          <w:sz w:val="22"/>
          <w:lang w:val="en-GB"/>
        </w:rPr>
      </w:pPr>
      <w:r w:rsidRPr="00194D78">
        <w:rPr>
          <w:rFonts w:ascii="Calibri" w:hAnsi="Calibri" w:cs="Arial"/>
          <w:b/>
          <w:bCs/>
          <w:sz w:val="22"/>
          <w:lang w:val="en-GB"/>
        </w:rPr>
        <w:t>Academic Visitor Status to the University of Oxford</w:t>
      </w:r>
    </w:p>
    <w:p w14:paraId="6ED95AFB" w14:textId="7520DADF" w:rsidR="001C0BE5" w:rsidRDefault="00412ADB" w:rsidP="001C0BE5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>University</w:t>
      </w:r>
      <w:r w:rsidR="001C0BE5">
        <w:rPr>
          <w:rFonts w:ascii="Calibri" w:hAnsi="Calibri" w:cs="Arial"/>
          <w:sz w:val="22"/>
          <w:lang w:val="en-GB"/>
        </w:rPr>
        <w:t xml:space="preserve"> card granting access to online journals and e-books</w:t>
      </w:r>
      <w:r w:rsidR="00D3488E">
        <w:rPr>
          <w:rFonts w:ascii="Calibri" w:hAnsi="Calibri" w:cs="Arial"/>
          <w:sz w:val="22"/>
          <w:lang w:val="en-GB"/>
        </w:rPr>
        <w:t>.</w:t>
      </w:r>
    </w:p>
    <w:p w14:paraId="23843AEF" w14:textId="77777777" w:rsidR="001C0BE5" w:rsidRDefault="001C0BE5" w:rsidP="001C0BE5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 xml:space="preserve">Remote internet access via VPN and </w:t>
      </w:r>
      <w:proofErr w:type="spellStart"/>
      <w:r>
        <w:rPr>
          <w:rFonts w:ascii="Calibri" w:hAnsi="Calibri" w:cs="Arial"/>
          <w:sz w:val="22"/>
          <w:lang w:val="en-GB"/>
        </w:rPr>
        <w:t>Eduroam</w:t>
      </w:r>
      <w:proofErr w:type="spellEnd"/>
      <w:r>
        <w:rPr>
          <w:rFonts w:ascii="Calibri" w:hAnsi="Calibri" w:cs="Arial"/>
          <w:sz w:val="22"/>
          <w:lang w:val="en-GB"/>
        </w:rPr>
        <w:t xml:space="preserve"> networks.</w:t>
      </w:r>
    </w:p>
    <w:p w14:paraId="22D59E18" w14:textId="77777777" w:rsidR="001C0BE5" w:rsidRDefault="001C0BE5" w:rsidP="001C0BE5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>University of Oxford e-mail address.</w:t>
      </w:r>
    </w:p>
    <w:p w14:paraId="781ECC31" w14:textId="77777777" w:rsidR="001C0BE5" w:rsidRPr="00D3488E" w:rsidRDefault="001C0BE5" w:rsidP="00F6623E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>(Competitive) Access to University courses and training for academic staff.</w:t>
      </w:r>
    </w:p>
    <w:p w14:paraId="508C6CF6" w14:textId="77777777" w:rsidR="001C0BE5" w:rsidRDefault="001C0BE5" w:rsidP="00F6623E">
      <w:pPr>
        <w:rPr>
          <w:rFonts w:ascii="Calibri" w:hAnsi="Calibri" w:cs="Arial"/>
          <w:b/>
          <w:bCs/>
          <w:color w:val="00B050"/>
          <w:sz w:val="22"/>
          <w:lang w:val="en-GB"/>
        </w:rPr>
      </w:pPr>
    </w:p>
    <w:p w14:paraId="363CE845" w14:textId="39AB7A18" w:rsidR="00F6623E" w:rsidRPr="00194D78" w:rsidRDefault="00412ADB" w:rsidP="00F6623E">
      <w:p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b/>
          <w:bCs/>
          <w:sz w:val="22"/>
          <w:lang w:val="en-GB"/>
        </w:rPr>
        <w:t>College Association</w:t>
      </w:r>
    </w:p>
    <w:p w14:paraId="04A03E74" w14:textId="77777777" w:rsidR="00F6623E" w:rsidRDefault="00F6623E" w:rsidP="00F6623E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bookmarkStart w:id="1" w:name="_Hlk115263401"/>
      <w:r>
        <w:rPr>
          <w:rFonts w:ascii="Calibri" w:hAnsi="Calibri" w:cs="Arial"/>
          <w:sz w:val="22"/>
          <w:lang w:val="en-GB"/>
        </w:rPr>
        <w:t>Access to</w:t>
      </w:r>
      <w:r w:rsidR="00194D78">
        <w:rPr>
          <w:rFonts w:ascii="Calibri" w:hAnsi="Calibri" w:cs="Arial"/>
          <w:sz w:val="22"/>
          <w:lang w:val="en-GB"/>
        </w:rPr>
        <w:t xml:space="preserve"> </w:t>
      </w:r>
      <w:r w:rsidR="00800F4A">
        <w:rPr>
          <w:rFonts w:ascii="Calibri" w:hAnsi="Calibri" w:cs="Arial"/>
          <w:sz w:val="22"/>
          <w:lang w:val="en-GB"/>
        </w:rPr>
        <w:t>C</w:t>
      </w:r>
      <w:r w:rsidR="00194D78">
        <w:rPr>
          <w:rFonts w:ascii="Calibri" w:hAnsi="Calibri" w:cs="Arial"/>
          <w:sz w:val="22"/>
          <w:lang w:val="en-GB"/>
        </w:rPr>
        <w:t>ollege</w:t>
      </w:r>
      <w:r w:rsidR="00D27264">
        <w:rPr>
          <w:rFonts w:ascii="Calibri" w:hAnsi="Calibri" w:cs="Arial"/>
          <w:sz w:val="22"/>
          <w:lang w:val="en-GB"/>
        </w:rPr>
        <w:t xml:space="preserve"> sports facilities (including tennis courts and gym on the main college site)</w:t>
      </w:r>
      <w:r>
        <w:rPr>
          <w:rFonts w:ascii="Calibri" w:hAnsi="Calibri" w:cs="Arial"/>
          <w:sz w:val="22"/>
          <w:lang w:val="en-GB"/>
        </w:rPr>
        <w:t>.</w:t>
      </w:r>
    </w:p>
    <w:p w14:paraId="1288A609" w14:textId="1A216707" w:rsidR="002E5570" w:rsidRDefault="00F6623E" w:rsidP="00F6623E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 xml:space="preserve">Access to </w:t>
      </w:r>
      <w:r w:rsidR="00D27264">
        <w:rPr>
          <w:rFonts w:ascii="Calibri" w:hAnsi="Calibri" w:cs="Arial"/>
          <w:sz w:val="22"/>
          <w:lang w:val="en-GB"/>
        </w:rPr>
        <w:t>social facilities</w:t>
      </w:r>
      <w:r>
        <w:rPr>
          <w:rFonts w:ascii="Calibri" w:hAnsi="Calibri" w:cs="Arial"/>
          <w:sz w:val="22"/>
          <w:lang w:val="en-GB"/>
        </w:rPr>
        <w:t xml:space="preserve"> including the College Bar and the</w:t>
      </w:r>
      <w:r w:rsidR="00D27264">
        <w:rPr>
          <w:rFonts w:ascii="Calibri" w:hAnsi="Calibri" w:cs="Arial"/>
          <w:sz w:val="22"/>
          <w:lang w:val="en-GB"/>
        </w:rPr>
        <w:t xml:space="preserve"> Co</w:t>
      </w:r>
      <w:r w:rsidR="00D27264" w:rsidRPr="00D27264">
        <w:rPr>
          <w:rFonts w:ascii="Calibri" w:hAnsi="Calibri" w:cs="Arial"/>
          <w:sz w:val="22"/>
          <w:lang w:val="en-GB"/>
        </w:rPr>
        <w:t xml:space="preserve">llege Common Room </w:t>
      </w:r>
      <w:r>
        <w:rPr>
          <w:rFonts w:ascii="Calibri" w:hAnsi="Calibri" w:cs="Arial"/>
          <w:sz w:val="22"/>
          <w:lang w:val="en-GB"/>
        </w:rPr>
        <w:t>(</w:t>
      </w:r>
      <w:r w:rsidR="00D27264" w:rsidRPr="00D27264">
        <w:rPr>
          <w:rFonts w:ascii="Calibri" w:hAnsi="Calibri" w:cs="Arial"/>
          <w:sz w:val="22"/>
          <w:lang w:val="en-GB"/>
        </w:rPr>
        <w:t>housed in the historic Radcliffe Observatory</w:t>
      </w:r>
      <w:r>
        <w:rPr>
          <w:rFonts w:ascii="Calibri" w:hAnsi="Calibri" w:cs="Arial"/>
          <w:sz w:val="22"/>
          <w:lang w:val="en-GB"/>
        </w:rPr>
        <w:t xml:space="preserve"> </w:t>
      </w:r>
      <w:r w:rsidR="00D27264">
        <w:rPr>
          <w:rFonts w:ascii="Calibri" w:hAnsi="Calibri" w:cs="Arial"/>
          <w:sz w:val="22"/>
          <w:lang w:val="en-GB"/>
        </w:rPr>
        <w:t>with free</w:t>
      </w:r>
      <w:r w:rsidR="00D27264" w:rsidRPr="00D27264">
        <w:rPr>
          <w:rFonts w:ascii="Calibri" w:hAnsi="Calibri" w:cs="Arial"/>
          <w:sz w:val="22"/>
          <w:lang w:val="en-GB"/>
        </w:rPr>
        <w:t xml:space="preserve"> coffee and tea, daily newspapers</w:t>
      </w:r>
      <w:r w:rsidR="005756BE">
        <w:rPr>
          <w:rFonts w:ascii="Calibri" w:hAnsi="Calibri" w:cs="Arial"/>
          <w:sz w:val="22"/>
          <w:lang w:val="en-GB"/>
        </w:rPr>
        <w:t xml:space="preserve">, </w:t>
      </w:r>
      <w:r w:rsidR="00D27264" w:rsidRPr="00D27264">
        <w:rPr>
          <w:rFonts w:ascii="Calibri" w:hAnsi="Calibri" w:cs="Arial"/>
          <w:sz w:val="22"/>
          <w:lang w:val="en-GB"/>
        </w:rPr>
        <w:t>and the opportunity to meet and chat</w:t>
      </w:r>
      <w:r w:rsidR="00D27264">
        <w:rPr>
          <w:rFonts w:ascii="Calibri" w:hAnsi="Calibri" w:cs="Arial"/>
          <w:sz w:val="22"/>
          <w:lang w:val="en-GB"/>
        </w:rPr>
        <w:t xml:space="preserve">). </w:t>
      </w:r>
    </w:p>
    <w:p w14:paraId="0E7A2DF2" w14:textId="411A8D06" w:rsidR="00BA041A" w:rsidRDefault="00BA041A" w:rsidP="00F6623E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 xml:space="preserve">Access to the College meal booking system </w:t>
      </w:r>
    </w:p>
    <w:p w14:paraId="32A0E6AA" w14:textId="7E616566" w:rsidR="00BA041A" w:rsidRDefault="00BA041A" w:rsidP="00F6623E">
      <w:pPr>
        <w:numPr>
          <w:ilvl w:val="0"/>
          <w:numId w:val="6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>Added to College website</w:t>
      </w:r>
    </w:p>
    <w:bookmarkEnd w:id="1"/>
    <w:p w14:paraId="1F565C19" w14:textId="77777777" w:rsidR="00180288" w:rsidRDefault="00180288" w:rsidP="00180288">
      <w:pPr>
        <w:rPr>
          <w:rFonts w:ascii="Calibri" w:hAnsi="Calibri" w:cs="Arial"/>
          <w:sz w:val="22"/>
          <w:lang w:val="en-GB"/>
        </w:rPr>
      </w:pPr>
    </w:p>
    <w:p w14:paraId="4F17E0BB" w14:textId="77777777" w:rsidR="00180288" w:rsidRPr="00180288" w:rsidRDefault="00180288" w:rsidP="00180288">
      <w:pPr>
        <w:rPr>
          <w:rFonts w:ascii="Calibri" w:hAnsi="Calibri" w:cs="Arial"/>
          <w:b/>
          <w:bCs/>
          <w:color w:val="00B050"/>
          <w:sz w:val="22"/>
          <w:lang w:val="en-GB"/>
        </w:rPr>
      </w:pPr>
      <w:bookmarkStart w:id="2" w:name="_Hlk115263131"/>
      <w:r w:rsidRPr="00182940">
        <w:rPr>
          <w:rFonts w:ascii="Calibri" w:hAnsi="Calibri" w:cs="Arial"/>
          <w:b/>
          <w:bCs/>
          <w:sz w:val="22"/>
          <w:lang w:val="en-GB"/>
        </w:rPr>
        <w:t>Dining Rights</w:t>
      </w:r>
    </w:p>
    <w:bookmarkEnd w:id="2"/>
    <w:p w14:paraId="621541DE" w14:textId="77777777" w:rsidR="00180288" w:rsidRDefault="00180288" w:rsidP="002E5570">
      <w:pPr>
        <w:numPr>
          <w:ilvl w:val="0"/>
          <w:numId w:val="4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>One free lunch or dinner</w:t>
      </w:r>
      <w:r w:rsidR="00182940">
        <w:rPr>
          <w:rFonts w:ascii="Calibri" w:hAnsi="Calibri" w:cs="Arial"/>
          <w:sz w:val="22"/>
          <w:lang w:val="en-GB"/>
        </w:rPr>
        <w:t xml:space="preserve"> at College</w:t>
      </w:r>
      <w:r>
        <w:rPr>
          <w:rFonts w:ascii="Calibri" w:hAnsi="Calibri" w:cs="Arial"/>
          <w:sz w:val="22"/>
          <w:lang w:val="en-GB"/>
        </w:rPr>
        <w:t xml:space="preserve"> per term.</w:t>
      </w:r>
    </w:p>
    <w:p w14:paraId="648CDCFA" w14:textId="5830D9F4" w:rsidR="00D3488E" w:rsidRPr="00D3488E" w:rsidRDefault="00180288" w:rsidP="00D3488E">
      <w:pPr>
        <w:numPr>
          <w:ilvl w:val="0"/>
          <w:numId w:val="4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>Meals subsidised to Member rates at all other times</w:t>
      </w:r>
      <w:r w:rsidR="00D3488E">
        <w:rPr>
          <w:rFonts w:ascii="Calibri" w:hAnsi="Calibri" w:cs="Arial"/>
          <w:sz w:val="22"/>
          <w:lang w:val="en-GB"/>
        </w:rPr>
        <w:t xml:space="preserve"> </w:t>
      </w:r>
      <w:r w:rsidRPr="00D3488E">
        <w:rPr>
          <w:rFonts w:ascii="Calibri" w:hAnsi="Calibri" w:cs="Arial"/>
          <w:sz w:val="22"/>
          <w:lang w:val="en-GB"/>
        </w:rPr>
        <w:t>(check with</w:t>
      </w:r>
      <w:r w:rsidR="005756BE" w:rsidRPr="00D3488E">
        <w:rPr>
          <w:rFonts w:ascii="Calibri" w:hAnsi="Calibri" w:cs="Arial"/>
          <w:sz w:val="22"/>
          <w:lang w:val="en-GB"/>
        </w:rPr>
        <w:t xml:space="preserve"> </w:t>
      </w:r>
      <w:r w:rsidR="00182940">
        <w:rPr>
          <w:rFonts w:ascii="Calibri" w:hAnsi="Calibri" w:cs="Arial"/>
          <w:sz w:val="22"/>
          <w:lang w:val="en-GB"/>
        </w:rPr>
        <w:t>Green Templeton</w:t>
      </w:r>
      <w:r w:rsidRPr="00D3488E">
        <w:rPr>
          <w:rFonts w:ascii="Calibri" w:hAnsi="Calibri" w:cs="Arial"/>
          <w:sz w:val="22"/>
          <w:lang w:val="en-GB"/>
        </w:rPr>
        <w:t xml:space="preserve"> catering office</w:t>
      </w:r>
      <w:r w:rsidR="005756BE" w:rsidRPr="00D3488E">
        <w:rPr>
          <w:rFonts w:ascii="Calibri" w:hAnsi="Calibri" w:cs="Arial"/>
          <w:sz w:val="22"/>
          <w:lang w:val="en-GB"/>
        </w:rPr>
        <w:t xml:space="preserve"> for current rates</w:t>
      </w:r>
      <w:r w:rsidR="00D3488E" w:rsidRPr="00D3488E">
        <w:rPr>
          <w:rFonts w:ascii="Calibri" w:hAnsi="Calibri" w:cs="Arial"/>
          <w:sz w:val="22"/>
          <w:lang w:val="en-GB"/>
        </w:rPr>
        <w:t>)</w:t>
      </w:r>
      <w:r w:rsidR="00D3488E">
        <w:rPr>
          <w:rFonts w:ascii="Calibri" w:hAnsi="Calibri" w:cs="Arial"/>
          <w:sz w:val="22"/>
          <w:lang w:val="en-GB"/>
        </w:rPr>
        <w:t>.</w:t>
      </w:r>
      <w:r w:rsidR="00D3488E" w:rsidRPr="00D3488E">
        <w:rPr>
          <w:rFonts w:ascii="Calibri" w:hAnsi="Calibri" w:cs="Arial"/>
          <w:sz w:val="22"/>
          <w:lang w:val="en-GB"/>
        </w:rPr>
        <w:t xml:space="preserve"> </w:t>
      </w:r>
    </w:p>
    <w:p w14:paraId="0B066247" w14:textId="77777777" w:rsidR="00180288" w:rsidRDefault="00906EF9" w:rsidP="00D3488E">
      <w:pPr>
        <w:ind w:left="720"/>
        <w:rPr>
          <w:rFonts w:ascii="Calibri" w:hAnsi="Calibri" w:cs="Arial"/>
          <w:sz w:val="22"/>
          <w:lang w:val="en-GB"/>
        </w:rPr>
      </w:pPr>
      <w:hyperlink r:id="rId5" w:history="1">
        <w:r w:rsidR="00D3488E" w:rsidRPr="00472863">
          <w:rPr>
            <w:rStyle w:val="Hyperlink"/>
            <w:rFonts w:ascii="Calibri" w:hAnsi="Calibri" w:cs="Arial"/>
            <w:sz w:val="22"/>
            <w:lang w:val="en-GB"/>
          </w:rPr>
          <w:t>https://www.gtc.ox.ac.uk/students/college-life/food-meal-bookings/</w:t>
        </w:r>
      </w:hyperlink>
    </w:p>
    <w:p w14:paraId="0EF4F026" w14:textId="77777777" w:rsidR="005756BE" w:rsidRDefault="005756BE" w:rsidP="002E5570">
      <w:pPr>
        <w:numPr>
          <w:ilvl w:val="0"/>
          <w:numId w:val="4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  <w:lang w:val="en-GB"/>
        </w:rPr>
        <w:t>TAs are usually invited to specific events</w:t>
      </w:r>
      <w:r w:rsidR="00182940">
        <w:rPr>
          <w:rFonts w:ascii="Calibri" w:hAnsi="Calibri" w:cs="Arial"/>
          <w:sz w:val="22"/>
          <w:lang w:val="en-GB"/>
        </w:rPr>
        <w:t xml:space="preserve"> such as </w:t>
      </w:r>
      <w:r>
        <w:rPr>
          <w:rFonts w:ascii="Calibri" w:hAnsi="Calibri" w:cs="Arial"/>
          <w:sz w:val="22"/>
          <w:lang w:val="en-GB"/>
        </w:rPr>
        <w:t>formal dinner to celebrate end of Y6 exams, the start of Y5, or the ‘Many Medic’ dinners where students are encouraged to dine alongside their tutors.</w:t>
      </w:r>
    </w:p>
    <w:p w14:paraId="65AD97AD" w14:textId="77777777" w:rsidR="005756BE" w:rsidRDefault="005756BE" w:rsidP="005756BE">
      <w:pPr>
        <w:rPr>
          <w:rFonts w:ascii="Calibri" w:hAnsi="Calibri" w:cs="Arial"/>
          <w:sz w:val="22"/>
          <w:lang w:val="en-GB"/>
        </w:rPr>
      </w:pPr>
    </w:p>
    <w:p w14:paraId="4FA0B8B0" w14:textId="77777777" w:rsidR="005756BE" w:rsidRPr="005756BE" w:rsidRDefault="005756BE" w:rsidP="005756BE">
      <w:pPr>
        <w:rPr>
          <w:rFonts w:ascii="Calibri" w:hAnsi="Calibri" w:cs="Arial"/>
          <w:b/>
          <w:bCs/>
          <w:color w:val="00B050"/>
          <w:sz w:val="22"/>
          <w:lang w:val="en-GB"/>
        </w:rPr>
      </w:pPr>
      <w:r w:rsidRPr="00182940">
        <w:rPr>
          <w:rFonts w:ascii="Calibri" w:hAnsi="Calibri" w:cs="Arial"/>
          <w:b/>
          <w:bCs/>
          <w:sz w:val="22"/>
          <w:lang w:val="en-GB"/>
        </w:rPr>
        <w:t xml:space="preserve">Integration </w:t>
      </w:r>
      <w:r w:rsidR="00182940" w:rsidRPr="00182940">
        <w:rPr>
          <w:rFonts w:ascii="Calibri" w:hAnsi="Calibri" w:cs="Arial"/>
          <w:b/>
          <w:bCs/>
          <w:sz w:val="22"/>
          <w:lang w:val="en-GB"/>
        </w:rPr>
        <w:t>into</w:t>
      </w:r>
      <w:r w:rsidRPr="00182940">
        <w:rPr>
          <w:rFonts w:ascii="Calibri" w:hAnsi="Calibri" w:cs="Arial"/>
          <w:b/>
          <w:bCs/>
          <w:sz w:val="22"/>
          <w:lang w:val="en-GB"/>
        </w:rPr>
        <w:t xml:space="preserve"> College Life</w:t>
      </w:r>
    </w:p>
    <w:p w14:paraId="63DA26E8" w14:textId="77777777" w:rsidR="00F82251" w:rsidRDefault="00D27264" w:rsidP="00F82251">
      <w:pPr>
        <w:numPr>
          <w:ilvl w:val="0"/>
          <w:numId w:val="4"/>
        </w:numPr>
        <w:rPr>
          <w:rFonts w:ascii="Calibri" w:hAnsi="Calibri" w:cs="Arial"/>
          <w:sz w:val="22"/>
          <w:lang w:val="en-GB"/>
        </w:rPr>
      </w:pPr>
      <w:r w:rsidRPr="005756BE">
        <w:rPr>
          <w:rFonts w:ascii="Calibri" w:hAnsi="Calibri" w:cs="Arial"/>
          <w:sz w:val="22"/>
          <w:lang w:val="en-GB"/>
        </w:rPr>
        <w:t>There are many interesting lectures, seminars</w:t>
      </w:r>
      <w:r w:rsidR="00182940">
        <w:rPr>
          <w:rFonts w:ascii="Calibri" w:hAnsi="Calibri" w:cs="Arial"/>
          <w:sz w:val="22"/>
          <w:lang w:val="en-GB"/>
        </w:rPr>
        <w:t>,</w:t>
      </w:r>
      <w:r w:rsidRPr="005756BE">
        <w:rPr>
          <w:rFonts w:ascii="Calibri" w:hAnsi="Calibri" w:cs="Arial"/>
          <w:sz w:val="22"/>
          <w:lang w:val="en-GB"/>
        </w:rPr>
        <w:t xml:space="preserve"> and clubs open to all</w:t>
      </w:r>
      <w:r w:rsidR="005756BE">
        <w:rPr>
          <w:rFonts w:ascii="Calibri" w:hAnsi="Calibri" w:cs="Arial"/>
          <w:sz w:val="22"/>
          <w:lang w:val="en-GB"/>
        </w:rPr>
        <w:t xml:space="preserve"> College</w:t>
      </w:r>
      <w:r w:rsidRPr="005756BE">
        <w:rPr>
          <w:rFonts w:ascii="Calibri" w:hAnsi="Calibri" w:cs="Arial"/>
          <w:sz w:val="22"/>
          <w:lang w:val="en-GB"/>
        </w:rPr>
        <w:t xml:space="preserve"> members</w:t>
      </w:r>
      <w:r w:rsidR="001C0BE5">
        <w:rPr>
          <w:rFonts w:ascii="Calibri" w:hAnsi="Calibri" w:cs="Arial"/>
          <w:sz w:val="22"/>
          <w:lang w:val="en-GB"/>
        </w:rPr>
        <w:t xml:space="preserve"> which are advertised on the College website and in the newsletter</w:t>
      </w:r>
      <w:r w:rsidRPr="005756BE">
        <w:rPr>
          <w:rFonts w:ascii="Calibri" w:hAnsi="Calibri" w:cs="Arial"/>
          <w:sz w:val="22"/>
          <w:lang w:val="en-GB"/>
        </w:rPr>
        <w:t>.</w:t>
      </w:r>
    </w:p>
    <w:p w14:paraId="43136C7F" w14:textId="77777777" w:rsidR="00D3488E" w:rsidRPr="00F82251" w:rsidRDefault="00906EF9" w:rsidP="00F82251">
      <w:pPr>
        <w:ind w:left="720"/>
        <w:rPr>
          <w:rFonts w:ascii="Calibri" w:hAnsi="Calibri" w:cs="Arial"/>
          <w:sz w:val="22"/>
          <w:lang w:val="en-GB"/>
        </w:rPr>
      </w:pPr>
      <w:hyperlink r:id="rId6" w:history="1">
        <w:r w:rsidR="00F82251" w:rsidRPr="00472863">
          <w:rPr>
            <w:rStyle w:val="Hyperlink"/>
            <w:rFonts w:ascii="Calibri" w:hAnsi="Calibri" w:cs="Arial"/>
            <w:sz w:val="22"/>
            <w:lang w:val="en-GB"/>
          </w:rPr>
          <w:t>https://www.gtc.ox.ac.uk/news-and-events/events/</w:t>
        </w:r>
      </w:hyperlink>
    </w:p>
    <w:p w14:paraId="5B361249" w14:textId="77777777" w:rsidR="00F82251" w:rsidRPr="00F82251" w:rsidRDefault="00B15482" w:rsidP="00B15482">
      <w:pPr>
        <w:numPr>
          <w:ilvl w:val="0"/>
          <w:numId w:val="4"/>
        </w:numPr>
        <w:rPr>
          <w:rFonts w:ascii="Calibri" w:hAnsi="Calibri" w:cs="Arial"/>
          <w:sz w:val="22"/>
          <w:lang w:val="en-GB"/>
        </w:rPr>
      </w:pPr>
      <w:r w:rsidRPr="00D3488E">
        <w:rPr>
          <w:rFonts w:ascii="Calibri" w:hAnsi="Calibri" w:cs="Arial"/>
          <w:sz w:val="22"/>
          <w:lang w:val="en-GB"/>
        </w:rPr>
        <w:t>TAs are encouraged to join the</w:t>
      </w:r>
      <w:r w:rsidRPr="00D3488E">
        <w:rPr>
          <w:rFonts w:ascii="Calibri" w:hAnsi="Calibri" w:cs="Arial"/>
          <w:sz w:val="22"/>
        </w:rPr>
        <w:t xml:space="preserve"> Richard Doll Society (</w:t>
      </w:r>
      <w:r w:rsidR="00D3488E">
        <w:rPr>
          <w:rFonts w:ascii="Calibri" w:hAnsi="Calibri" w:cs="Arial"/>
          <w:sz w:val="22"/>
        </w:rPr>
        <w:t>student medical society</w:t>
      </w:r>
      <w:r w:rsidRPr="00D3488E">
        <w:rPr>
          <w:rFonts w:ascii="Calibri" w:hAnsi="Calibri" w:cs="Arial"/>
          <w:sz w:val="22"/>
        </w:rPr>
        <w:t>) which hosts various social and academic events aimed at medics</w:t>
      </w:r>
      <w:r w:rsidR="00D3488E">
        <w:rPr>
          <w:rFonts w:ascii="Calibri" w:hAnsi="Calibri" w:cs="Arial"/>
          <w:sz w:val="22"/>
        </w:rPr>
        <w:t xml:space="preserve"> and the wider college community.</w:t>
      </w:r>
    </w:p>
    <w:p w14:paraId="446865AB" w14:textId="77777777" w:rsidR="00F82251" w:rsidRPr="00F82251" w:rsidRDefault="00906EF9" w:rsidP="00F82251">
      <w:pPr>
        <w:ind w:left="720"/>
        <w:rPr>
          <w:rFonts w:ascii="Calibri" w:hAnsi="Calibri" w:cs="Arial"/>
          <w:sz w:val="22"/>
        </w:rPr>
      </w:pPr>
      <w:hyperlink r:id="rId7" w:history="1">
        <w:r w:rsidR="00F82251" w:rsidRPr="00472863">
          <w:rPr>
            <w:rStyle w:val="Hyperlink"/>
            <w:rFonts w:ascii="Calibri" w:hAnsi="Calibri" w:cs="Arial"/>
            <w:sz w:val="22"/>
          </w:rPr>
          <w:t>https://www.gtc.ox.ac.uk/academic/student-academic-projects/richard-doll-society/</w:t>
        </w:r>
      </w:hyperlink>
    </w:p>
    <w:p w14:paraId="74112137" w14:textId="77777777" w:rsidR="00F82251" w:rsidRPr="00F82251" w:rsidRDefault="00D3488E" w:rsidP="00B15482">
      <w:pPr>
        <w:numPr>
          <w:ilvl w:val="0"/>
          <w:numId w:val="4"/>
        </w:numPr>
        <w:rPr>
          <w:rFonts w:ascii="Calibri" w:hAnsi="Calibri" w:cs="Arial"/>
          <w:sz w:val="22"/>
          <w:lang w:val="en-GB"/>
        </w:rPr>
      </w:pPr>
      <w:r>
        <w:rPr>
          <w:rFonts w:ascii="Calibri" w:hAnsi="Calibri" w:cs="Arial"/>
          <w:sz w:val="22"/>
        </w:rPr>
        <w:t>T</w:t>
      </w:r>
      <w:r w:rsidR="00F82251">
        <w:rPr>
          <w:rFonts w:ascii="Calibri" w:hAnsi="Calibri" w:cs="Arial"/>
          <w:sz w:val="22"/>
        </w:rPr>
        <w:t>As</w:t>
      </w:r>
      <w:r>
        <w:rPr>
          <w:rFonts w:ascii="Calibri" w:hAnsi="Calibri" w:cs="Arial"/>
          <w:sz w:val="22"/>
        </w:rPr>
        <w:t xml:space="preserve"> are welcome to </w:t>
      </w:r>
      <w:r w:rsidR="00B15482" w:rsidRPr="00D3488E">
        <w:rPr>
          <w:rFonts w:ascii="Calibri" w:hAnsi="Calibri" w:cs="Arial"/>
          <w:sz w:val="22"/>
        </w:rPr>
        <w:t xml:space="preserve">attend the flagship “Management in Medicine” seminar </w:t>
      </w:r>
      <w:proofErr w:type="spellStart"/>
      <w:r w:rsidR="00B15482" w:rsidRPr="00D3488E">
        <w:rPr>
          <w:rFonts w:ascii="Calibri" w:hAnsi="Calibri" w:cs="Arial"/>
          <w:sz w:val="22"/>
        </w:rPr>
        <w:t>programme</w:t>
      </w:r>
      <w:proofErr w:type="spellEnd"/>
      <w:r w:rsidR="00F82251">
        <w:rPr>
          <w:rFonts w:ascii="Calibri" w:hAnsi="Calibri" w:cs="Arial"/>
          <w:sz w:val="22"/>
        </w:rPr>
        <w:t>.</w:t>
      </w:r>
    </w:p>
    <w:p w14:paraId="503441DA" w14:textId="77777777" w:rsidR="00B15482" w:rsidRDefault="00906EF9" w:rsidP="00F82251">
      <w:pPr>
        <w:ind w:left="720"/>
        <w:rPr>
          <w:rFonts w:ascii="Calibri" w:hAnsi="Calibri" w:cs="Arial"/>
          <w:sz w:val="22"/>
        </w:rPr>
      </w:pPr>
      <w:hyperlink r:id="rId8" w:history="1">
        <w:r w:rsidR="00182940" w:rsidRPr="006C3663">
          <w:rPr>
            <w:rStyle w:val="Hyperlink"/>
            <w:rFonts w:ascii="Calibri" w:hAnsi="Calibri" w:cs="Arial"/>
            <w:sz w:val="22"/>
          </w:rPr>
          <w:t>https://www.gtc.ox.ac.uk/academic/health-care/management-in-medicine/</w:t>
        </w:r>
      </w:hyperlink>
      <w:r w:rsidR="00182940">
        <w:rPr>
          <w:rFonts w:ascii="Calibri" w:hAnsi="Calibri" w:cs="Arial"/>
          <w:sz w:val="22"/>
        </w:rPr>
        <w:t xml:space="preserve"> </w:t>
      </w:r>
    </w:p>
    <w:p w14:paraId="7FCF203C" w14:textId="77777777" w:rsidR="00F82251" w:rsidRPr="00D3488E" w:rsidRDefault="00F82251" w:rsidP="00F82251">
      <w:pPr>
        <w:rPr>
          <w:rFonts w:ascii="Calibri" w:hAnsi="Calibri" w:cs="Arial"/>
          <w:sz w:val="22"/>
          <w:lang w:val="en-GB"/>
        </w:rPr>
      </w:pPr>
    </w:p>
    <w:p w14:paraId="4814880C" w14:textId="77777777" w:rsidR="008C6EB0" w:rsidRPr="00182940" w:rsidRDefault="00726FE9" w:rsidP="006510AF">
      <w:pPr>
        <w:rPr>
          <w:rFonts w:ascii="Calibri" w:hAnsi="Calibri" w:cs="Arial"/>
          <w:b/>
          <w:bCs/>
          <w:sz w:val="22"/>
        </w:rPr>
      </w:pPr>
      <w:r w:rsidRPr="00182940">
        <w:rPr>
          <w:rFonts w:ascii="Calibri" w:hAnsi="Calibri" w:cs="Arial"/>
          <w:b/>
          <w:bCs/>
          <w:sz w:val="22"/>
        </w:rPr>
        <w:t>Funding</w:t>
      </w:r>
    </w:p>
    <w:p w14:paraId="56B3FDB7" w14:textId="77777777" w:rsidR="00726FE9" w:rsidRDefault="00726FE9" w:rsidP="00726FE9">
      <w:pPr>
        <w:numPr>
          <w:ilvl w:val="0"/>
          <w:numId w:val="4"/>
        </w:num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TAs receive no formal payment for their role.</w:t>
      </w:r>
    </w:p>
    <w:p w14:paraId="521928A6" w14:textId="77777777" w:rsidR="008C6EB0" w:rsidRDefault="00E97F22" w:rsidP="006510AF">
      <w:pPr>
        <w:numPr>
          <w:ilvl w:val="0"/>
          <w:numId w:val="4"/>
        </w:num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Sometimes the College invites applications for funding</w:t>
      </w:r>
      <w:r w:rsidR="008C6EB0">
        <w:rPr>
          <w:rFonts w:ascii="Calibri" w:hAnsi="Calibri" w:cs="Arial"/>
          <w:sz w:val="22"/>
        </w:rPr>
        <w:t xml:space="preserve"> for </w:t>
      </w:r>
      <w:r w:rsidR="00726FE9">
        <w:rPr>
          <w:rFonts w:ascii="Calibri" w:hAnsi="Calibri" w:cs="Arial"/>
          <w:sz w:val="22"/>
        </w:rPr>
        <w:t>‘</w:t>
      </w:r>
      <w:r w:rsidR="008C6EB0">
        <w:rPr>
          <w:rFonts w:ascii="Calibri" w:hAnsi="Calibri" w:cs="Arial"/>
          <w:sz w:val="22"/>
        </w:rPr>
        <w:t xml:space="preserve">academic </w:t>
      </w:r>
      <w:proofErr w:type="gramStart"/>
      <w:r w:rsidR="008C6EB0">
        <w:rPr>
          <w:rFonts w:ascii="Calibri" w:hAnsi="Calibri" w:cs="Arial"/>
          <w:sz w:val="22"/>
        </w:rPr>
        <w:t>initiatives</w:t>
      </w:r>
      <w:r w:rsidR="00726FE9">
        <w:rPr>
          <w:rFonts w:ascii="Calibri" w:hAnsi="Calibri" w:cs="Arial"/>
          <w:sz w:val="22"/>
        </w:rPr>
        <w:t>’</w:t>
      </w:r>
      <w:proofErr w:type="gramEnd"/>
      <w:r>
        <w:rPr>
          <w:rFonts w:ascii="Calibri" w:hAnsi="Calibri" w:cs="Arial"/>
          <w:sz w:val="22"/>
        </w:rPr>
        <w:t>.</w:t>
      </w:r>
      <w:r w:rsidR="008C6EB0">
        <w:rPr>
          <w:rFonts w:ascii="Calibri" w:hAnsi="Calibri" w:cs="Arial"/>
          <w:sz w:val="22"/>
        </w:rPr>
        <w:t xml:space="preserve"> Bids will be assessed according to how they might contribute to the academic interests of the </w:t>
      </w:r>
      <w:r>
        <w:rPr>
          <w:rFonts w:ascii="Calibri" w:hAnsi="Calibri" w:cs="Arial"/>
          <w:sz w:val="22"/>
        </w:rPr>
        <w:t xml:space="preserve">whole </w:t>
      </w:r>
      <w:r w:rsidR="008C6EB0">
        <w:rPr>
          <w:rFonts w:ascii="Calibri" w:hAnsi="Calibri" w:cs="Arial"/>
          <w:sz w:val="22"/>
        </w:rPr>
        <w:t>College including all the disciplines</w:t>
      </w:r>
      <w:r w:rsidR="008C6EB0" w:rsidRPr="008C6EB0">
        <w:rPr>
          <w:rFonts w:ascii="Calibri" w:hAnsi="Calibri" w:cs="Arial"/>
          <w:sz w:val="22"/>
        </w:rPr>
        <w:t xml:space="preserve"> </w:t>
      </w:r>
      <w:r w:rsidR="008C6EB0">
        <w:rPr>
          <w:rFonts w:ascii="Calibri" w:hAnsi="Calibri" w:cs="Arial"/>
          <w:sz w:val="22"/>
        </w:rPr>
        <w:t>of its various members</w:t>
      </w:r>
      <w:r w:rsidR="00726FE9">
        <w:rPr>
          <w:rFonts w:ascii="Calibri" w:hAnsi="Calibri" w:cs="Arial"/>
          <w:sz w:val="22"/>
        </w:rPr>
        <w:t xml:space="preserve">. </w:t>
      </w:r>
      <w:r w:rsidR="0041418F" w:rsidRPr="00726FE9">
        <w:rPr>
          <w:rFonts w:ascii="Calibri" w:hAnsi="Calibri" w:cs="Arial"/>
          <w:sz w:val="22"/>
        </w:rPr>
        <w:t>Suitable bids might include a conference or set of master-classes on a topic of broad interest (e.g. global health, pharmaceuticals, smoking)</w:t>
      </w:r>
      <w:r w:rsidR="00F95453" w:rsidRPr="00726FE9">
        <w:rPr>
          <w:rFonts w:ascii="Calibri" w:hAnsi="Calibri" w:cs="Arial"/>
          <w:sz w:val="22"/>
        </w:rPr>
        <w:t xml:space="preserve"> to members</w:t>
      </w:r>
      <w:r w:rsidR="0041418F" w:rsidRPr="00726FE9">
        <w:rPr>
          <w:rFonts w:ascii="Calibri" w:hAnsi="Calibri" w:cs="Arial"/>
          <w:sz w:val="22"/>
        </w:rPr>
        <w:t>.</w:t>
      </w:r>
      <w:r w:rsidR="00B15482" w:rsidRPr="00726FE9">
        <w:rPr>
          <w:rFonts w:ascii="Calibri" w:hAnsi="Calibri" w:cs="Arial"/>
          <w:sz w:val="22"/>
        </w:rPr>
        <w:t xml:space="preserve"> </w:t>
      </w:r>
    </w:p>
    <w:p w14:paraId="2A3959F9" w14:textId="77777777" w:rsidR="00726FE9" w:rsidRPr="00726FE9" w:rsidRDefault="00726FE9" w:rsidP="006510AF">
      <w:pPr>
        <w:numPr>
          <w:ilvl w:val="0"/>
          <w:numId w:val="4"/>
        </w:num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Teaching expenses may be considered for reimbursement on discussion with the Senior Doll Fellows (Dr Radhika Chadha and Dr Sheila Lumley).</w:t>
      </w:r>
    </w:p>
    <w:p w14:paraId="753D6DFC" w14:textId="77777777" w:rsidR="008C6EB0" w:rsidRDefault="008C6EB0" w:rsidP="006510AF">
      <w:pPr>
        <w:rPr>
          <w:rFonts w:ascii="Calibri" w:hAnsi="Calibri" w:cs="Arial"/>
          <w:sz w:val="22"/>
        </w:rPr>
      </w:pPr>
    </w:p>
    <w:p w14:paraId="50B15628" w14:textId="77777777" w:rsidR="00FA1458" w:rsidRDefault="00FA1458" w:rsidP="006510AF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TAs</w:t>
      </w:r>
      <w:r w:rsidR="006510AF" w:rsidRPr="00B37989">
        <w:rPr>
          <w:rFonts w:ascii="Calibri" w:hAnsi="Calibri" w:cs="Arial"/>
          <w:sz w:val="22"/>
        </w:rPr>
        <w:t xml:space="preserve"> are encouraged to make use of these </w:t>
      </w:r>
      <w:r w:rsidR="008C6EB0">
        <w:rPr>
          <w:rFonts w:ascii="Calibri" w:hAnsi="Calibri" w:cs="Arial"/>
          <w:sz w:val="22"/>
        </w:rPr>
        <w:t>benefits</w:t>
      </w:r>
      <w:r w:rsidR="00726FE9">
        <w:rPr>
          <w:rFonts w:ascii="Calibri" w:hAnsi="Calibri" w:cs="Arial"/>
          <w:sz w:val="22"/>
        </w:rPr>
        <w:t xml:space="preserve"> </w:t>
      </w:r>
      <w:r w:rsidR="00182940">
        <w:rPr>
          <w:rFonts w:ascii="Calibri" w:hAnsi="Calibri" w:cs="Arial"/>
          <w:sz w:val="22"/>
        </w:rPr>
        <w:t>–</w:t>
      </w:r>
      <w:r w:rsidR="008C6EB0">
        <w:rPr>
          <w:rFonts w:ascii="Calibri" w:hAnsi="Calibri" w:cs="Arial"/>
          <w:sz w:val="22"/>
        </w:rPr>
        <w:t xml:space="preserve"> we</w:t>
      </w:r>
      <w:r w:rsidR="00182940">
        <w:rPr>
          <w:rFonts w:ascii="Calibri" w:hAnsi="Calibri" w:cs="Arial"/>
          <w:sz w:val="22"/>
        </w:rPr>
        <w:t xml:space="preserve"> </w:t>
      </w:r>
      <w:r w:rsidR="008C6EB0">
        <w:rPr>
          <w:rFonts w:ascii="Calibri" w:hAnsi="Calibri" w:cs="Arial"/>
          <w:sz w:val="22"/>
        </w:rPr>
        <w:t xml:space="preserve">want you to have a close connection to the College. </w:t>
      </w:r>
    </w:p>
    <w:p w14:paraId="3E430EE1" w14:textId="77777777" w:rsidR="00B15482" w:rsidRDefault="00FA1458" w:rsidP="00D27264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TAs are sent a letter of appointment (from the Principal) and </w:t>
      </w:r>
      <w:r w:rsidR="00F95453">
        <w:rPr>
          <w:rFonts w:ascii="Calibri" w:hAnsi="Calibri" w:cs="Arial"/>
          <w:sz w:val="22"/>
        </w:rPr>
        <w:t xml:space="preserve">one of </w:t>
      </w:r>
      <w:r>
        <w:rPr>
          <w:rFonts w:ascii="Calibri" w:hAnsi="Calibri" w:cs="Arial"/>
          <w:sz w:val="22"/>
        </w:rPr>
        <w:t>the Senior Doll Fellow</w:t>
      </w:r>
      <w:r w:rsidR="00F95453">
        <w:rPr>
          <w:rFonts w:ascii="Calibri" w:hAnsi="Calibri" w:cs="Arial"/>
          <w:sz w:val="22"/>
        </w:rPr>
        <w:t>s</w:t>
      </w:r>
      <w:r>
        <w:rPr>
          <w:rFonts w:ascii="Calibri" w:hAnsi="Calibri" w:cs="Arial"/>
          <w:sz w:val="22"/>
        </w:rPr>
        <w:t xml:space="preserve"> can provide further evidence of </w:t>
      </w:r>
      <w:r w:rsidR="00C04820">
        <w:rPr>
          <w:rFonts w:ascii="Calibri" w:hAnsi="Calibri" w:cs="Arial"/>
          <w:sz w:val="22"/>
        </w:rPr>
        <w:t xml:space="preserve">involvement in </w:t>
      </w:r>
      <w:r>
        <w:rPr>
          <w:rFonts w:ascii="Calibri" w:hAnsi="Calibri" w:cs="Arial"/>
          <w:sz w:val="22"/>
        </w:rPr>
        <w:t>teaching if this is required for your portfolio/appraisal</w:t>
      </w:r>
      <w:r w:rsidR="00043BAD">
        <w:rPr>
          <w:rFonts w:ascii="Calibri" w:hAnsi="Calibri" w:cs="Arial"/>
          <w:sz w:val="22"/>
        </w:rPr>
        <w:t>.</w:t>
      </w:r>
    </w:p>
    <w:sectPr w:rsidR="00B15482" w:rsidSect="00BA041A">
      <w:endnotePr>
        <w:numFmt w:val="decimal"/>
      </w:endnotePr>
      <w:pgSz w:w="11906" w:h="16838"/>
      <w:pgMar w:top="1440" w:right="1440" w:bottom="284" w:left="1440" w:header="2591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3231"/>
    <w:multiLevelType w:val="hybridMultilevel"/>
    <w:tmpl w:val="6BA07B96"/>
    <w:lvl w:ilvl="0" w:tplc="C6F68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2C6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A6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CD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84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6A1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87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CC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6CD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D7C1E"/>
    <w:multiLevelType w:val="hybridMultilevel"/>
    <w:tmpl w:val="ABD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3E9A"/>
    <w:multiLevelType w:val="hybridMultilevel"/>
    <w:tmpl w:val="9F4A8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F29A6"/>
    <w:multiLevelType w:val="hybridMultilevel"/>
    <w:tmpl w:val="E85CA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F34A2C"/>
    <w:multiLevelType w:val="hybridMultilevel"/>
    <w:tmpl w:val="6D6AF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5732F"/>
    <w:multiLevelType w:val="hybridMultilevel"/>
    <w:tmpl w:val="3CB66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Q759E117T597X212"/>
    <w:docVar w:name="paperpile-doc-name" w:val="Benefits of being a TA 2022.doc"/>
  </w:docVars>
  <w:rsids>
    <w:rsidRoot w:val="00262BD1"/>
    <w:rsid w:val="000050B6"/>
    <w:rsid w:val="00043BAD"/>
    <w:rsid w:val="000C27A9"/>
    <w:rsid w:val="001138D5"/>
    <w:rsid w:val="00180288"/>
    <w:rsid w:val="00182940"/>
    <w:rsid w:val="00194D78"/>
    <w:rsid w:val="001C0BE5"/>
    <w:rsid w:val="00211BA5"/>
    <w:rsid w:val="00262BD1"/>
    <w:rsid w:val="002A0BE0"/>
    <w:rsid w:val="002E1C94"/>
    <w:rsid w:val="002E5570"/>
    <w:rsid w:val="00333D2D"/>
    <w:rsid w:val="00337B3F"/>
    <w:rsid w:val="00365AA8"/>
    <w:rsid w:val="003C34C4"/>
    <w:rsid w:val="00412ADB"/>
    <w:rsid w:val="0041418F"/>
    <w:rsid w:val="00476EC1"/>
    <w:rsid w:val="0054652F"/>
    <w:rsid w:val="005756BE"/>
    <w:rsid w:val="006510AF"/>
    <w:rsid w:val="00726FE9"/>
    <w:rsid w:val="00800F4A"/>
    <w:rsid w:val="008C6EB0"/>
    <w:rsid w:val="00906EF9"/>
    <w:rsid w:val="009D3F05"/>
    <w:rsid w:val="00B15482"/>
    <w:rsid w:val="00B37989"/>
    <w:rsid w:val="00BA041A"/>
    <w:rsid w:val="00BD405B"/>
    <w:rsid w:val="00C04820"/>
    <w:rsid w:val="00C230E9"/>
    <w:rsid w:val="00D27264"/>
    <w:rsid w:val="00D3488E"/>
    <w:rsid w:val="00D70179"/>
    <w:rsid w:val="00DE1A76"/>
    <w:rsid w:val="00E36A3E"/>
    <w:rsid w:val="00E97F22"/>
    <w:rsid w:val="00F6623E"/>
    <w:rsid w:val="00F77863"/>
    <w:rsid w:val="00F82251"/>
    <w:rsid w:val="00F95453"/>
    <w:rsid w:val="00F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4E366"/>
  <w15:chartTrackingRefBased/>
  <w15:docId w15:val="{3A781C37-FFCD-4814-A15A-E091A77A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i/>
      <w:iCs/>
      <w:sz w:val="24"/>
      <w:szCs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sz w:val="24"/>
      <w:szCs w:val="26"/>
      <w:lang w:val="en-GB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color w:val="FF0000"/>
      <w:sz w:val="24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  <w:bCs/>
      <w:sz w:val="22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5760"/>
      <w:jc w:val="both"/>
    </w:pPr>
    <w:rPr>
      <w:rFonts w:ascii="Comic Sans MS" w:hAnsi="Comic Sans MS"/>
      <w:i/>
      <w:iCs/>
      <w:sz w:val="32"/>
      <w:szCs w:val="32"/>
      <w:lang w:val="en-GB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8"/>
      <w:szCs w:val="26"/>
      <w:lang w:val="en-GB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paragraph" w:styleId="BodyText2">
    <w:name w:val="Body Text 2"/>
    <w:basedOn w:val="Normal"/>
    <w:rPr>
      <w:rFonts w:ascii="Arial Narrow" w:hAnsi="Arial Narrow"/>
      <w:sz w:val="22"/>
    </w:rPr>
  </w:style>
  <w:style w:type="character" w:styleId="FollowedHyperlink">
    <w:name w:val="FollowedHyperlink"/>
    <w:rsid w:val="00F9545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97F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BA0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041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c.ox.ac.uk/academic/health-care/management-in-medic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tc.ox.ac.uk/academic/student-academic-projects/richard-doll-soci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c.ox.ac.uk/news-and-events/events/" TargetMode="External"/><Relationship Id="rId5" Type="http://schemas.openxmlformats.org/officeDocument/2006/relationships/hyperlink" Target="https://www.gtc.ox.ac.uk/students/college-life/food-meal-bookin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Assistant College Secretary</vt:lpstr>
    </vt:vector>
  </TitlesOfParts>
  <Company>Green College</Company>
  <LinksUpToDate>false</LinksUpToDate>
  <CharactersWithSpaces>3065</CharactersWithSpaces>
  <SharedDoc>false</SharedDoc>
  <HLinks>
    <vt:vector size="18" baseType="variant"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https://www.gtc.ox.ac.uk/academic/student-academic-projects/richard-doll-society/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https://www.gtc.ox.ac.uk/news-and-events/events/</vt:lpwstr>
      </vt:variant>
      <vt:variant>
        <vt:lpwstr/>
      </vt:variant>
      <vt:variant>
        <vt:i4>3276840</vt:i4>
      </vt:variant>
      <vt:variant>
        <vt:i4>0</vt:i4>
      </vt:variant>
      <vt:variant>
        <vt:i4>0</vt:i4>
      </vt:variant>
      <vt:variant>
        <vt:i4>5</vt:i4>
      </vt:variant>
      <vt:variant>
        <vt:lpwstr>https://www.gtc.ox.ac.uk/students/college-life/food-meal-bookings/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Assistant College Secretary</dc:title>
  <dc:subject/>
  <dc:creator>Jan Parker</dc:creator>
  <cp:keywords/>
  <cp:lastModifiedBy>Sarah Taylor</cp:lastModifiedBy>
  <cp:revision>2</cp:revision>
  <cp:lastPrinted>2004-05-28T10:47:00Z</cp:lastPrinted>
  <dcterms:created xsi:type="dcterms:W3CDTF">2024-10-23T10:53:00Z</dcterms:created>
  <dcterms:modified xsi:type="dcterms:W3CDTF">2024-10-23T10:53:00Z</dcterms:modified>
</cp:coreProperties>
</file>